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C7276" w14:textId="789947F2" w:rsidR="00841BCD" w:rsidRPr="008D0E7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D0E7E">
        <w:rPr>
          <w:rFonts w:ascii="Arial" w:eastAsia="SimSun" w:hAnsi="Arial" w:cs="Times New Roman"/>
          <w:b/>
          <w:bCs/>
          <w:sz w:val="24"/>
          <w:szCs w:val="20"/>
        </w:rPr>
        <w:t>3GPP T</w:t>
      </w:r>
      <w:bookmarkStart w:id="2" w:name="_Ref452454252"/>
      <w:bookmarkEnd w:id="2"/>
      <w:r w:rsidRPr="008D0E7E">
        <w:rPr>
          <w:rFonts w:ascii="Arial" w:eastAsia="SimSun" w:hAnsi="Arial" w:cs="Times New Roman"/>
          <w:b/>
          <w:bCs/>
          <w:sz w:val="24"/>
          <w:szCs w:val="20"/>
        </w:rPr>
        <w:t xml:space="preserve">SG-RAN </w:t>
      </w:r>
      <w:r w:rsidR="00ED7600" w:rsidRPr="008D0E7E">
        <w:rPr>
          <w:rFonts w:ascii="Arial" w:eastAsia="SimSun" w:hAnsi="Arial" w:cs="Times New Roman"/>
          <w:b/>
          <w:sz w:val="24"/>
          <w:szCs w:val="20"/>
        </w:rPr>
        <w:t>WG4 Meeting #</w:t>
      </w:r>
      <w:r w:rsidR="00DE7064" w:rsidRPr="008D0E7E">
        <w:rPr>
          <w:rFonts w:ascii="Arial" w:eastAsia="SimSun" w:hAnsi="Arial" w:cs="Times New Roman"/>
          <w:b/>
          <w:sz w:val="24"/>
          <w:szCs w:val="20"/>
        </w:rPr>
        <w:t>1</w:t>
      </w:r>
      <w:r w:rsidR="00381F95" w:rsidRPr="008D0E7E">
        <w:rPr>
          <w:rFonts w:ascii="Arial" w:eastAsia="SimSun" w:hAnsi="Arial" w:cs="Times New Roman"/>
          <w:b/>
          <w:sz w:val="24"/>
          <w:szCs w:val="20"/>
        </w:rPr>
        <w:t>1</w:t>
      </w:r>
      <w:r w:rsidR="00A74866" w:rsidRPr="008D0E7E">
        <w:rPr>
          <w:rFonts w:ascii="Arial" w:eastAsia="SimSun" w:hAnsi="Arial" w:cs="Times New Roman"/>
          <w:b/>
          <w:sz w:val="24"/>
          <w:szCs w:val="20"/>
        </w:rPr>
        <w:t>5</w:t>
      </w:r>
      <w:r w:rsidRPr="008D0E7E">
        <w:rPr>
          <w:rFonts w:ascii="Arial" w:eastAsia="SimSun" w:hAnsi="Arial" w:cs="Times New Roman"/>
          <w:b/>
          <w:bCs/>
          <w:sz w:val="24"/>
          <w:szCs w:val="20"/>
        </w:rPr>
        <w:tab/>
      </w:r>
      <w:r w:rsidR="008D0E7E" w:rsidRPr="008D0E7E">
        <w:rPr>
          <w:rFonts w:ascii="Arial" w:eastAsia="SimSun" w:hAnsi="Arial" w:cs="Times New Roman"/>
          <w:b/>
          <w:bCs/>
          <w:sz w:val="24"/>
          <w:szCs w:val="20"/>
          <w:lang w:eastAsia="ja-JP"/>
        </w:rPr>
        <w:t>R4-2505733</w:t>
      </w:r>
    </w:p>
    <w:bookmarkEnd w:id="0"/>
    <w:bookmarkEnd w:id="1"/>
    <w:p w14:paraId="043000CC" w14:textId="77777777" w:rsidR="00B26A8A" w:rsidRPr="00B26A8A" w:rsidRDefault="00A74866"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8D0E7E">
        <w:rPr>
          <w:rFonts w:ascii="Arial" w:eastAsia="SimSun" w:hAnsi="Arial" w:cs="Times New Roman"/>
          <w:b/>
          <w:sz w:val="24"/>
          <w:szCs w:val="20"/>
        </w:rPr>
        <w:t>St Julian’s</w:t>
      </w:r>
      <w:r w:rsidR="00B26A8A" w:rsidRPr="008D0E7E">
        <w:rPr>
          <w:rFonts w:ascii="Arial" w:eastAsia="SimSun" w:hAnsi="Arial" w:cs="Times New Roman"/>
          <w:b/>
          <w:sz w:val="24"/>
          <w:szCs w:val="20"/>
        </w:rPr>
        <w:t xml:space="preserve">, </w:t>
      </w:r>
      <w:r w:rsidRPr="008D0E7E">
        <w:rPr>
          <w:rFonts w:ascii="Arial" w:eastAsia="SimSun" w:hAnsi="Arial" w:cs="Times New Roman"/>
          <w:b/>
          <w:sz w:val="24"/>
          <w:szCs w:val="20"/>
        </w:rPr>
        <w:t>Malta</w:t>
      </w:r>
      <w:r w:rsidR="00B26A8A" w:rsidRPr="008D0E7E">
        <w:rPr>
          <w:rFonts w:ascii="Arial" w:eastAsia="SimSun" w:hAnsi="Arial" w:cs="Times New Roman"/>
          <w:b/>
          <w:sz w:val="24"/>
          <w:szCs w:val="20"/>
        </w:rPr>
        <w:t xml:space="preserve">, </w:t>
      </w:r>
      <w:r w:rsidRPr="008D0E7E">
        <w:rPr>
          <w:rFonts w:ascii="Arial" w:eastAsia="SimSun" w:hAnsi="Arial" w:cs="Times New Roman"/>
          <w:b/>
          <w:sz w:val="24"/>
          <w:szCs w:val="20"/>
        </w:rPr>
        <w:t>May</w:t>
      </w:r>
      <w:r w:rsidR="00B26A8A" w:rsidRPr="008D0E7E">
        <w:rPr>
          <w:rFonts w:ascii="Arial" w:eastAsia="SimSun" w:hAnsi="Arial" w:cs="Times New Roman"/>
          <w:b/>
          <w:sz w:val="24"/>
          <w:szCs w:val="20"/>
        </w:rPr>
        <w:t xml:space="preserve"> </w:t>
      </w:r>
      <w:r w:rsidRPr="008D0E7E">
        <w:rPr>
          <w:rFonts w:ascii="Arial" w:eastAsia="SimSun" w:hAnsi="Arial" w:cs="Times New Roman"/>
          <w:b/>
          <w:sz w:val="24"/>
          <w:szCs w:val="20"/>
        </w:rPr>
        <w:t>19</w:t>
      </w:r>
      <w:r w:rsidR="00B26A8A" w:rsidRPr="008D0E7E">
        <w:rPr>
          <w:rFonts w:ascii="Arial" w:eastAsia="SimSun" w:hAnsi="Arial" w:cs="Times New Roman"/>
          <w:b/>
          <w:sz w:val="24"/>
          <w:szCs w:val="20"/>
        </w:rPr>
        <w:t>th –</w:t>
      </w:r>
      <w:r w:rsidRPr="008D0E7E">
        <w:rPr>
          <w:rFonts w:ascii="Arial" w:eastAsia="SimSun" w:hAnsi="Arial" w:cs="Times New Roman"/>
          <w:b/>
          <w:sz w:val="24"/>
          <w:szCs w:val="20"/>
        </w:rPr>
        <w:t>May 23rd</w:t>
      </w:r>
      <w:r w:rsidR="00B26A8A" w:rsidRPr="008D0E7E">
        <w:rPr>
          <w:rFonts w:ascii="Arial" w:eastAsia="SimSun" w:hAnsi="Arial" w:cs="Times New Roman"/>
          <w:b/>
          <w:sz w:val="24"/>
          <w:szCs w:val="20"/>
        </w:rPr>
        <w:t>, 2025</w:t>
      </w:r>
    </w:p>
    <w:p w14:paraId="409B431D"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F6A816F"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3F44741" w14:textId="3912ECC4"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821FB2" w:rsidRPr="00821FB2">
        <w:rPr>
          <w:rFonts w:ascii="Arial" w:eastAsia="Calibri" w:hAnsi="Arial" w:cs="Arial"/>
          <w:b/>
          <w:bCs/>
          <w:sz w:val="24"/>
        </w:rPr>
        <w:t>On performance requirements for NR mobility enhancements Ph4</w:t>
      </w:r>
    </w:p>
    <w:p w14:paraId="5D5E70D6" w14:textId="137BDCCD"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821FB2" w:rsidRPr="00821FB2">
        <w:rPr>
          <w:rFonts w:ascii="Arial" w:eastAsia="MS Mincho" w:hAnsi="Arial" w:cs="Arial"/>
          <w:b/>
          <w:bCs/>
          <w:sz w:val="24"/>
          <w:szCs w:val="20"/>
        </w:rPr>
        <w:t>7.29.4</w:t>
      </w:r>
    </w:p>
    <w:p w14:paraId="0B1BB4FC"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40FAE8F6"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58C538C3" w14:textId="05B7117C" w:rsidR="0060543D" w:rsidRDefault="00876AFC" w:rsidP="005C23A4">
      <w:r>
        <w:t>In this contribution we discuss the performance part of the NR_Mob_Ph4 work item.</w:t>
      </w:r>
    </w:p>
    <w:p w14:paraId="396DA469" w14:textId="77777777" w:rsidR="008D0E7E" w:rsidRDefault="008D0E7E" w:rsidP="008D0E7E">
      <w:r>
        <w:t>Based on the defined core part requirements, RAN4 needs to define the corresponding test cases for event-triggered L1 reporting, LTM CSI-RS measurements, and CLTM. In the following we analyze the need of test cases for each of these objectives.</w:t>
      </w:r>
    </w:p>
    <w:p w14:paraId="61489AF5" w14:textId="18CB0F7D" w:rsidR="008D0E7E" w:rsidRPr="008F786B" w:rsidRDefault="008D0E7E" w:rsidP="005C23A4">
      <w:r>
        <w:t>Considering the core part of the work item is not finalized, the details of the test cases will need to remain open. However, RAN4 can already agree on high level on the list of necessary tests.</w:t>
      </w:r>
    </w:p>
    <w:p w14:paraId="211F79F7" w14:textId="77777777" w:rsidR="00B66B7D" w:rsidRDefault="003B659E" w:rsidP="00B66B7D">
      <w:pPr>
        <w:pStyle w:val="RAN4H1"/>
      </w:pPr>
      <w:bookmarkStart w:id="4" w:name="_Toc116995842"/>
      <w:r w:rsidRPr="008F786B">
        <w:t>Discussion</w:t>
      </w:r>
      <w:bookmarkEnd w:id="4"/>
    </w:p>
    <w:p w14:paraId="4F96CC80" w14:textId="3A455C7A" w:rsidR="00581618" w:rsidRDefault="003A5FC1" w:rsidP="005C23A4">
      <w:pPr>
        <w:pStyle w:val="RAN4H2"/>
      </w:pPr>
      <w:r>
        <w:t>Event-triggered L1 reporting</w:t>
      </w:r>
    </w:p>
    <w:p w14:paraId="6730272F" w14:textId="623CB844" w:rsidR="007D2A22" w:rsidRDefault="003A5FC1" w:rsidP="007D2A22">
      <w:r>
        <w:t>For event-triggered L1 reporting, RAN4 is defining a reporting delay for:</w:t>
      </w:r>
    </w:p>
    <w:p w14:paraId="209F8533" w14:textId="534A78F8" w:rsidR="003A5FC1" w:rsidRDefault="003A5FC1" w:rsidP="003A5FC1">
      <w:pPr>
        <w:pStyle w:val="ListParagraph"/>
        <w:numPr>
          <w:ilvl w:val="0"/>
          <w:numId w:val="29"/>
        </w:numPr>
      </w:pPr>
      <w:r>
        <w:t>Intra-frequency SSB-based event-triggered L1 reporting</w:t>
      </w:r>
      <w:r w:rsidR="00B33E2F">
        <w:t xml:space="preserve"> (without measurement gaps)</w:t>
      </w:r>
    </w:p>
    <w:p w14:paraId="1B6A5329" w14:textId="03EF5C52" w:rsidR="003A5FC1" w:rsidRDefault="003A5FC1" w:rsidP="003A5FC1">
      <w:pPr>
        <w:pStyle w:val="ListParagraph"/>
        <w:numPr>
          <w:ilvl w:val="0"/>
          <w:numId w:val="29"/>
        </w:numPr>
      </w:pPr>
      <w:r>
        <w:t>Inter-frequency SSB-based event-triggered L1 reporting</w:t>
      </w:r>
      <w:r w:rsidR="00B33E2F">
        <w:t xml:space="preserve"> (with and without measurement gaps)</w:t>
      </w:r>
    </w:p>
    <w:p w14:paraId="54116D17" w14:textId="3A39B7BC" w:rsidR="003A5FC1" w:rsidRDefault="003A5FC1" w:rsidP="003A5FC1">
      <w:pPr>
        <w:pStyle w:val="ListParagraph"/>
        <w:numPr>
          <w:ilvl w:val="0"/>
          <w:numId w:val="29"/>
        </w:numPr>
      </w:pPr>
      <w:r>
        <w:t>Intra-frequency CSI-RS-based event-triggered L1 reporting</w:t>
      </w:r>
      <w:r w:rsidR="00B33E2F">
        <w:t xml:space="preserve"> (without measurement gaps)</w:t>
      </w:r>
    </w:p>
    <w:p w14:paraId="7B9702CC" w14:textId="411DE4A9" w:rsidR="003A5FC1" w:rsidRDefault="003A5FC1" w:rsidP="003A5FC1">
      <w:r>
        <w:t xml:space="preserve">The </w:t>
      </w:r>
      <w:r w:rsidR="008648C8">
        <w:t>last one</w:t>
      </w:r>
      <w:r>
        <w:t xml:space="preserve"> depend</w:t>
      </w:r>
      <w:r w:rsidR="008D0E7E">
        <w:t>s</w:t>
      </w:r>
      <w:r>
        <w:t xml:space="preserve"> on the measurement requirements that are to be defined </w:t>
      </w:r>
      <w:r w:rsidR="00B33E2F">
        <w:t xml:space="preserve">under the CSI-RS measurement objective. </w:t>
      </w:r>
    </w:p>
    <w:p w14:paraId="43E777A8" w14:textId="30748121" w:rsidR="0030243F" w:rsidRDefault="009C3D6D" w:rsidP="003A5FC1">
      <w:r>
        <w:t xml:space="preserve">RAN4 should define test cases to cover all the listed event-triggered reporting cases. </w:t>
      </w:r>
      <w:r w:rsidR="0030243F">
        <w:t>Additionally, RAN4 should define at least one test case to verify that the UE correctly follows event-triggered periodic reporting requirements.</w:t>
      </w:r>
    </w:p>
    <w:p w14:paraId="50CCB245" w14:textId="0163E474" w:rsidR="00B33E2F" w:rsidRDefault="00B33E2F" w:rsidP="003A5FC1">
      <w:r>
        <w:t>To cover the testing of all these requirements, we propose to introduce the following test cases:</w:t>
      </w:r>
    </w:p>
    <w:p w14:paraId="4C1EA4BF" w14:textId="749E256C" w:rsidR="008B0AF3" w:rsidRDefault="0030243F" w:rsidP="001A4C2A">
      <w:pPr>
        <w:pStyle w:val="RAN4proposal"/>
      </w:pPr>
      <w:bookmarkStart w:id="5" w:name="_Toc197676325"/>
      <w:r>
        <w:t>Introduce the following test cases for event-triggered LTM L1 reporting:</w:t>
      </w:r>
      <w:r w:rsidR="001A4C2A">
        <w:br/>
        <w:t xml:space="preserve">- </w:t>
      </w:r>
      <w:r>
        <w:t>FR1 and FR2 Intra-frequency SSB-based event-triggered L1 reporting (without measurement gaps)</w:t>
      </w:r>
      <w:r w:rsidR="001A4C2A">
        <w:br/>
        <w:t xml:space="preserve">- </w:t>
      </w:r>
      <w:r>
        <w:t>FR1 and FR2 Inter-frequency SSB-based event-triggered L1 reporting (with and without measurement gaps)</w:t>
      </w:r>
      <w:r w:rsidR="001A4C2A">
        <w:br/>
        <w:t xml:space="preserve">- </w:t>
      </w:r>
      <w:r>
        <w:t>FR1 and FR2 Intra-frequency CSI-RS-based event-triggered L1 reporting (without measurement gaps)</w:t>
      </w:r>
      <w:r w:rsidR="008B0AF3">
        <w:br/>
      </w:r>
      <w:r w:rsidR="001A4C2A">
        <w:t xml:space="preserve">- </w:t>
      </w:r>
      <w:r w:rsidR="008B0AF3">
        <w:t>At least 1 test case for event-triggered periodic reporting.</w:t>
      </w:r>
      <w:bookmarkEnd w:id="5"/>
    </w:p>
    <w:p w14:paraId="3B87A711" w14:textId="32D9EE5A" w:rsidR="001A4C2A" w:rsidRDefault="001A4C2A" w:rsidP="001A4C2A">
      <w:r>
        <w:t>In the test case</w:t>
      </w:r>
      <w:r w:rsidR="008D0E7E">
        <w:t>s</w:t>
      </w:r>
      <w:r>
        <w:t>, we propose to define the test setup so that there is one serving cell and one candidate cell. One of the cells</w:t>
      </w:r>
      <w:r w:rsidR="0055400E">
        <w:t>’</w:t>
      </w:r>
      <w:r>
        <w:t xml:space="preserve"> </w:t>
      </w:r>
      <w:r w:rsidR="00301281">
        <w:t>(</w:t>
      </w:r>
      <w:r>
        <w:t>e.g. serving cell</w:t>
      </w:r>
      <w:r w:rsidR="00301281">
        <w:t>)</w:t>
      </w:r>
      <w:r>
        <w:t xml:space="preserve"> signal quality shall remain constant during the test. The signal level of the other cell </w:t>
      </w:r>
      <w:r w:rsidR="00301281">
        <w:t xml:space="preserve">(e.g. candidate cell) </w:t>
      </w:r>
      <w:r>
        <w:t>shall be changed</w:t>
      </w:r>
      <w:r w:rsidR="00576998">
        <w:t xml:space="preserve"> during the test so that the reporting condition becomes fulfilled, and the UE shall send the report within the </w:t>
      </w:r>
      <w:r w:rsidR="000F7B56">
        <w:t>defined reporting delay</w:t>
      </w:r>
      <w:r w:rsidR="0055400E">
        <w:t xml:space="preserve"> after this time instant</w:t>
      </w:r>
      <w:r w:rsidR="000F7B56">
        <w:t>.</w:t>
      </w:r>
    </w:p>
    <w:p w14:paraId="09C6D63D" w14:textId="03855B5E" w:rsidR="000F7B56" w:rsidRDefault="000F7B56" w:rsidP="000F7B56">
      <w:pPr>
        <w:pStyle w:val="RAN4proposal"/>
      </w:pPr>
      <w:bookmarkStart w:id="6" w:name="_Toc197676326"/>
      <w:r>
        <w:t xml:space="preserve">On high level, the test cases for event-triggered L1 reporting </w:t>
      </w:r>
      <w:r w:rsidR="00660E0C">
        <w:t>can</w:t>
      </w:r>
      <w:r>
        <w:t xml:space="preserve"> have two cells (serving and candidate), and </w:t>
      </w:r>
      <w:r w:rsidR="0002455C">
        <w:t>the signal level of one of these cells is to be changed during the test so that the reporting condition becomes met. UE shall send the report within the specified delay</w:t>
      </w:r>
      <w:r w:rsidR="0055400E">
        <w:t xml:space="preserve"> after the condition becomes met</w:t>
      </w:r>
      <w:r w:rsidR="0002455C">
        <w:t>.</w:t>
      </w:r>
      <w:bookmarkEnd w:id="6"/>
    </w:p>
    <w:p w14:paraId="44905CE0" w14:textId="77777777" w:rsidR="00F50D03" w:rsidRDefault="00F50D03">
      <w:pPr>
        <w:rPr>
          <w:rFonts w:ascii="Arial" w:eastAsia="Times New Roman" w:hAnsi="Arial" w:cs="Times New Roman"/>
          <w:sz w:val="32"/>
          <w:szCs w:val="20"/>
        </w:rPr>
      </w:pPr>
      <w:r>
        <w:br w:type="page"/>
      </w:r>
    </w:p>
    <w:p w14:paraId="197D031C" w14:textId="51EE7877" w:rsidR="00660E0C" w:rsidRDefault="00660E0C" w:rsidP="00660E0C">
      <w:pPr>
        <w:pStyle w:val="RAN4H2"/>
      </w:pPr>
      <w:r>
        <w:lastRenderedPageBreak/>
        <w:t>CSI-RS measurements</w:t>
      </w:r>
    </w:p>
    <w:p w14:paraId="72C2F4ED" w14:textId="7B863C31" w:rsidR="00AB79EE" w:rsidRDefault="00B55918" w:rsidP="00660E0C">
      <w:r>
        <w:t xml:space="preserve">For CSI-RS L1-RSRP measurements define test cases </w:t>
      </w:r>
      <w:r w:rsidR="002F23D5">
        <w:t xml:space="preserve">for newly defined features. </w:t>
      </w:r>
      <w:r w:rsidR="00AB79EE">
        <w:t xml:space="preserve">The requirements are applicable when there are 48 PRBs within the active BWP. The test cases should test minimum </w:t>
      </w:r>
      <w:r w:rsidR="00461B18">
        <w:t>requirements;</w:t>
      </w:r>
      <w:r w:rsidR="00AB79EE">
        <w:t xml:space="preserve"> hence the configuration should contain 48PRBs within the active BWP. </w:t>
      </w:r>
    </w:p>
    <w:p w14:paraId="7BA3255F" w14:textId="4CE954E5" w:rsidR="002F23D5" w:rsidRDefault="00AB79EE" w:rsidP="00AB79EE">
      <w:pPr>
        <w:pStyle w:val="RAN4proposal"/>
      </w:pPr>
      <w:bookmarkStart w:id="7" w:name="_Toc197676327"/>
      <w:r>
        <w:t>Define FR1 and FR2 test cases to contain only 48 PRBs within the active BWP</w:t>
      </w:r>
      <w:bookmarkEnd w:id="7"/>
      <w:r>
        <w:t xml:space="preserve"> </w:t>
      </w:r>
    </w:p>
    <w:p w14:paraId="7B4B6208" w14:textId="73D236CC" w:rsidR="00237439" w:rsidRDefault="00237439" w:rsidP="00237439">
      <w:r>
        <w:t>For FR1</w:t>
      </w:r>
      <w:r w:rsidR="00461B18">
        <w:t xml:space="preserve">, </w:t>
      </w:r>
      <w:r>
        <w:t xml:space="preserve">intra-frequency without gaps test case should be sufficient. For FR2, RAN4 should define </w:t>
      </w:r>
      <w:r w:rsidR="00255D6A">
        <w:t>test cases for both CSI-RS based beam sweeping and R</w:t>
      </w:r>
      <w:r w:rsidR="00461B18">
        <w:t>el-</w:t>
      </w:r>
      <w:r w:rsidR="00255D6A">
        <w:t xml:space="preserve">18 SSB based beam sweeping. </w:t>
      </w:r>
    </w:p>
    <w:p w14:paraId="71FB2A9C" w14:textId="6D99CD0E" w:rsidR="004D17BC" w:rsidRDefault="004D17BC" w:rsidP="004D17BC">
      <w:pPr>
        <w:pStyle w:val="RAN4proposal"/>
      </w:pPr>
      <w:bookmarkStart w:id="8" w:name="_Toc197676328"/>
      <w:r>
        <w:t>Define FR1 intra-frequency without gaps test case</w:t>
      </w:r>
      <w:r w:rsidR="008D0E7E">
        <w:t>.</w:t>
      </w:r>
      <w:bookmarkEnd w:id="8"/>
      <w:r>
        <w:t xml:space="preserve"> </w:t>
      </w:r>
    </w:p>
    <w:p w14:paraId="58251753" w14:textId="29666A14" w:rsidR="004D17BC" w:rsidRDefault="004D17BC" w:rsidP="004D17BC">
      <w:pPr>
        <w:pStyle w:val="RAN4proposal"/>
      </w:pPr>
      <w:bookmarkStart w:id="9" w:name="_Toc197676329"/>
      <w:r>
        <w:t xml:space="preserve">Define FR2 intra-frequency without gaps </w:t>
      </w:r>
      <w:r w:rsidR="008D0E7E">
        <w:t xml:space="preserve">test </w:t>
      </w:r>
      <w:r>
        <w:t xml:space="preserve">case with </w:t>
      </w:r>
      <w:r w:rsidRPr="0010597B">
        <w:t xml:space="preserve">CSI-RS </w:t>
      </w:r>
      <w:r>
        <w:t>beam sweeping and without FR2 SSB measurements</w:t>
      </w:r>
      <w:r w:rsidR="008D0E7E">
        <w:t>.</w:t>
      </w:r>
      <w:bookmarkEnd w:id="9"/>
    </w:p>
    <w:p w14:paraId="5C72BB28" w14:textId="7BC0EA38" w:rsidR="004D17BC" w:rsidRDefault="004D17BC" w:rsidP="004D17BC">
      <w:pPr>
        <w:pStyle w:val="RAN4proposal"/>
      </w:pPr>
      <w:bookmarkStart w:id="10" w:name="_Toc197676330"/>
      <w:r>
        <w:t xml:space="preserve">Define FR2 intra-frequency without gaps </w:t>
      </w:r>
      <w:r w:rsidR="008D0E7E">
        <w:t xml:space="preserve">test </w:t>
      </w:r>
      <w:r>
        <w:t xml:space="preserve">case without </w:t>
      </w:r>
      <w:r w:rsidRPr="0010597B">
        <w:t xml:space="preserve">CSI-RS </w:t>
      </w:r>
      <w:r>
        <w:t>sweeping and with FR2 SSB measurements</w:t>
      </w:r>
      <w:r w:rsidR="008D0E7E">
        <w:t>.</w:t>
      </w:r>
      <w:bookmarkEnd w:id="10"/>
    </w:p>
    <w:p w14:paraId="35BE3136" w14:textId="1B4F840A" w:rsidR="004D17BC" w:rsidRDefault="004D17BC" w:rsidP="004D17BC">
      <w:r>
        <w:t xml:space="preserve">In the core part, RAN4 is currently still discussing how to handle the scenario </w:t>
      </w:r>
      <w:r w:rsidR="005A1BC4">
        <w:t>where one of the current serving cells (e.g. configured with CSI-RS BM measurements) is</w:t>
      </w:r>
      <w:r w:rsidR="000D46F6">
        <w:t xml:space="preserve"> </w:t>
      </w:r>
      <w:r w:rsidR="008D0E7E">
        <w:t xml:space="preserve">an </w:t>
      </w:r>
      <w:r w:rsidR="000D46F6">
        <w:t>LTM candidate cell</w:t>
      </w:r>
      <w:r w:rsidR="007F4070">
        <w:t xml:space="preserve">. Whether or not in this case measurements can be skipped or not is up to </w:t>
      </w:r>
      <w:r w:rsidR="008D0E7E">
        <w:t xml:space="preserve">the </w:t>
      </w:r>
      <w:r w:rsidR="007F4070">
        <w:t xml:space="preserve">core </w:t>
      </w:r>
      <w:r w:rsidR="008D0E7E">
        <w:t xml:space="preserve">part </w:t>
      </w:r>
      <w:r w:rsidR="007F4070">
        <w:t xml:space="preserve">discussion. </w:t>
      </w:r>
    </w:p>
    <w:p w14:paraId="581546D8" w14:textId="761BC1C8" w:rsidR="000D46F6" w:rsidRDefault="007D3D4C" w:rsidP="004D17BC">
      <w:pPr>
        <w:pStyle w:val="RAN4proposal"/>
      </w:pPr>
      <w:bookmarkStart w:id="11" w:name="_Toc197676331"/>
      <w:r>
        <w:t>Conditional to core requirements discussion, define FR1 and FR2 test cases where the serving cell is one of the LTM candidate</w:t>
      </w:r>
      <w:r w:rsidR="00461B18">
        <w:t xml:space="preserve"> </w:t>
      </w:r>
      <w:r w:rsidR="00274922">
        <w:t>cells</w:t>
      </w:r>
      <w:r w:rsidR="00461B18">
        <w:t>.</w:t>
      </w:r>
      <w:bookmarkEnd w:id="11"/>
      <w:r w:rsidR="00461B18">
        <w:t xml:space="preserve"> </w:t>
      </w:r>
    </w:p>
    <w:p w14:paraId="696CCAAD" w14:textId="0EFD3765" w:rsidR="00EC65F0" w:rsidRDefault="009D718E" w:rsidP="005F6111">
      <w:r>
        <w:t xml:space="preserve">Furthermore, </w:t>
      </w:r>
      <w:r w:rsidR="00ED383B">
        <w:t xml:space="preserve">the </w:t>
      </w:r>
      <w:r w:rsidR="00ED383B" w:rsidRPr="00ED383B">
        <w:t>CSI-RS resources should be periodic or semi-persistent</w:t>
      </w:r>
      <w:r w:rsidR="00ED383B">
        <w:t>.</w:t>
      </w:r>
      <w:r w:rsidR="00FB126F">
        <w:t xml:space="preserve"> RAN4 can discuss how to exactly split the test cases between semi-persistent and periodic CSI-RS</w:t>
      </w:r>
      <w:r w:rsidR="00EC65F0">
        <w:t>, but we think there should be at least one semi-per</w:t>
      </w:r>
      <w:r w:rsidR="00D96851">
        <w:t>sistent</w:t>
      </w:r>
      <w:r w:rsidR="00EC65F0">
        <w:t xml:space="preserve"> CSI-RS test case. </w:t>
      </w:r>
    </w:p>
    <w:p w14:paraId="26B70042" w14:textId="696863C5" w:rsidR="005F6111" w:rsidRPr="005F6111" w:rsidRDefault="00EC65F0" w:rsidP="00EC65F0">
      <w:pPr>
        <w:pStyle w:val="RAN4proposal"/>
      </w:pPr>
      <w:bookmarkStart w:id="12" w:name="_Toc197676332"/>
      <w:r>
        <w:t>Define</w:t>
      </w:r>
      <w:r w:rsidR="003A1C06">
        <w:t xml:space="preserve"> at least one test case with semi-persistent </w:t>
      </w:r>
      <w:r w:rsidR="008E1B93">
        <w:t xml:space="preserve">CSI-RS </w:t>
      </w:r>
      <w:r w:rsidR="00061EFB">
        <w:t>resource</w:t>
      </w:r>
      <w:r w:rsidR="008E1B93">
        <w:t xml:space="preserve">. Test cases not </w:t>
      </w:r>
      <w:r w:rsidR="00962C29">
        <w:t xml:space="preserve">defined as </w:t>
      </w:r>
      <w:r w:rsidR="008E1B93">
        <w:t xml:space="preserve">semi-persistent </w:t>
      </w:r>
      <w:r w:rsidR="007C42D7">
        <w:t xml:space="preserve">have </w:t>
      </w:r>
      <w:r w:rsidR="008E1B93">
        <w:t>periodic CSI-RS</w:t>
      </w:r>
      <w:r w:rsidR="007C42D7">
        <w:t xml:space="preserve"> </w:t>
      </w:r>
      <w:r w:rsidR="00061EFB">
        <w:t>resource</w:t>
      </w:r>
      <w:r w:rsidR="00A517BA">
        <w:t xml:space="preserve"> configuration</w:t>
      </w:r>
      <w:r w:rsidR="008E1B93">
        <w:t xml:space="preserve">. </w:t>
      </w:r>
      <w:r w:rsidR="00424552">
        <w:t>Discuss whether the semi-persistent test case is an independent test case.</w:t>
      </w:r>
      <w:bookmarkEnd w:id="12"/>
      <w:r w:rsidR="00424552">
        <w:t xml:space="preserve"> </w:t>
      </w:r>
    </w:p>
    <w:p w14:paraId="61016784" w14:textId="755878BC" w:rsidR="00143EE4" w:rsidRDefault="00143EE4" w:rsidP="00143EE4">
      <w:pPr>
        <w:pStyle w:val="RAN4H2"/>
      </w:pPr>
      <w:r>
        <w:t>Conditional LTM</w:t>
      </w:r>
    </w:p>
    <w:p w14:paraId="73A0700F" w14:textId="631EB319" w:rsidR="005F347B" w:rsidRDefault="00143EE4" w:rsidP="00143EE4">
      <w:r>
        <w:t xml:space="preserve">RAN4 is defining cell switch delay requirements for CLTM cell switch. The delay </w:t>
      </w:r>
      <w:r w:rsidR="00E31966">
        <w:t xml:space="preserve">requirement </w:t>
      </w:r>
      <w:r>
        <w:t xml:space="preserve">is to </w:t>
      </w:r>
      <w:r w:rsidR="00E31966">
        <w:t>cover the case of L1- and L3-based conditional cell switch</w:t>
      </w:r>
      <w:r w:rsidR="00333BFD">
        <w:t>.</w:t>
      </w:r>
      <w:r w:rsidR="004F35D0">
        <w:t xml:space="preserve"> Furthermore, the evaluation delay T</w:t>
      </w:r>
      <w:r w:rsidR="004F35D0" w:rsidRPr="00380E22">
        <w:rPr>
          <w:vertAlign w:val="subscript"/>
        </w:rPr>
        <w:t>measure</w:t>
      </w:r>
      <w:r w:rsidR="004F35D0">
        <w:t xml:space="preserve"> may depend on </w:t>
      </w:r>
      <w:r w:rsidR="00746111">
        <w:t>whether gap-based or gap-less intra- or inter-frequency measurements are configured</w:t>
      </w:r>
      <w:r w:rsidR="00A85DB7">
        <w:t xml:space="preserve">, and whether the </w:t>
      </w:r>
      <w:r w:rsidR="0083596E">
        <w:t xml:space="preserve">cell switch happens </w:t>
      </w:r>
      <w:r w:rsidR="00233C06">
        <w:t>towards an</w:t>
      </w:r>
      <w:r w:rsidR="0083596E">
        <w:t xml:space="preserve"> FR1 or FR2</w:t>
      </w:r>
      <w:r w:rsidR="00233C06">
        <w:t xml:space="preserve"> target cell</w:t>
      </w:r>
      <w:r w:rsidR="00746111">
        <w:t>.</w:t>
      </w:r>
      <w:r w:rsidR="0083596E">
        <w:t xml:space="preserve"> </w:t>
      </w:r>
      <w:r w:rsidR="005F347B">
        <w:t xml:space="preserve">Even further, the cell switch delay may depend on whether the cell switch is RACH-less or RACH-based, whether early ASN.1 decoding is supported and whether early DL sync is performed. This </w:t>
      </w:r>
      <w:r w:rsidR="00114D7C">
        <w:t>will lead to a long test case list, if all the supported scenarios are included.</w:t>
      </w:r>
    </w:p>
    <w:p w14:paraId="50DE25BF" w14:textId="0B36796E" w:rsidR="00D25203" w:rsidRDefault="006C37CC" w:rsidP="00143EE4">
      <w:r>
        <w:t xml:space="preserve">On high level, we propose that both </w:t>
      </w:r>
      <w:r w:rsidR="00F04D07">
        <w:t xml:space="preserve">cell switch based on </w:t>
      </w:r>
      <w:r>
        <w:t xml:space="preserve">L1-based condition </w:t>
      </w:r>
      <w:r w:rsidR="00D25203">
        <w:t>(</w:t>
      </w:r>
      <w:r w:rsidR="00EC724F">
        <w:t xml:space="preserve">in </w:t>
      </w:r>
      <w:r w:rsidR="00D25203">
        <w:t xml:space="preserve">FR1 and FR2) </w:t>
      </w:r>
      <w:r>
        <w:t xml:space="preserve">and L3-based condition </w:t>
      </w:r>
      <w:r w:rsidR="00D25203">
        <w:t>(</w:t>
      </w:r>
      <w:r w:rsidR="00EC724F">
        <w:t xml:space="preserve">in </w:t>
      </w:r>
      <w:r w:rsidR="00D25203">
        <w:t xml:space="preserve">FR1) </w:t>
      </w:r>
      <w:r>
        <w:t>are to be tested</w:t>
      </w:r>
      <w:r w:rsidR="00F04D07">
        <w:t xml:space="preserve">. </w:t>
      </w:r>
      <w:r w:rsidR="00D25203">
        <w:t>There should additionally be at least one test case on both FR1 and FR2 to verify cell switch interruption with and without early DL synchronization (TCI state activation). Also, both RACH-less and RACH-based cell switch need to be tested. RAN4 should discuss how many test cases are needed to cover the proper testing of each of these sub-features.</w:t>
      </w:r>
    </w:p>
    <w:p w14:paraId="682E4716" w14:textId="352ED1B7" w:rsidR="00F04D07" w:rsidRDefault="00D25203" w:rsidP="00F04D07">
      <w:pPr>
        <w:pStyle w:val="RAN4proposal"/>
      </w:pPr>
      <w:bookmarkStart w:id="13" w:name="_Toc197676333"/>
      <w:r>
        <w:t>RAN4 to discuss how to ensure proper testing of CLTM cell switch delay taking into account the testing of:</w:t>
      </w:r>
      <w:r>
        <w:br/>
        <w:t>- L1</w:t>
      </w:r>
      <w:r w:rsidR="00E3267C">
        <w:t>-</w:t>
      </w:r>
      <w:r w:rsidR="003F3452">
        <w:t xml:space="preserve">based </w:t>
      </w:r>
      <w:r w:rsidR="00E3267C">
        <w:t xml:space="preserve">conditional </w:t>
      </w:r>
      <w:r w:rsidR="003F3452">
        <w:t>cell switch (</w:t>
      </w:r>
      <w:r w:rsidR="002B107D">
        <w:t xml:space="preserve">intra- and inter-frequency, </w:t>
      </w:r>
      <w:r w:rsidR="003F3452">
        <w:t>FR1</w:t>
      </w:r>
      <w:r w:rsidR="003E1D75">
        <w:t xml:space="preserve"> to FR1 and</w:t>
      </w:r>
      <w:r w:rsidR="003F3452">
        <w:t xml:space="preserve"> FR2</w:t>
      </w:r>
      <w:r w:rsidR="003E1D75">
        <w:t xml:space="preserve"> to FR2</w:t>
      </w:r>
      <w:r w:rsidR="003F3452">
        <w:t>)</w:t>
      </w:r>
      <w:r w:rsidR="007C26CD">
        <w:t xml:space="preserve"> and </w:t>
      </w:r>
      <w:r w:rsidR="003F3452">
        <w:t>L3</w:t>
      </w:r>
      <w:r w:rsidR="00E3267C">
        <w:t>-</w:t>
      </w:r>
      <w:r w:rsidR="003F3452">
        <w:t xml:space="preserve">based </w:t>
      </w:r>
      <w:r w:rsidR="00E3267C">
        <w:t xml:space="preserve">conditional </w:t>
      </w:r>
      <w:r w:rsidR="003F3452">
        <w:t>cell switch (</w:t>
      </w:r>
      <w:r w:rsidR="002B107D">
        <w:t xml:space="preserve">intra- and inter-frequency </w:t>
      </w:r>
      <w:r w:rsidR="003F3452">
        <w:t>FR1</w:t>
      </w:r>
      <w:r w:rsidR="003E1D75">
        <w:t xml:space="preserve"> to FR1</w:t>
      </w:r>
      <w:r w:rsidR="003F3452">
        <w:t>)</w:t>
      </w:r>
      <w:r w:rsidR="003F3452">
        <w:br/>
        <w:t xml:space="preserve">- </w:t>
      </w:r>
      <w:r w:rsidR="007C26CD">
        <w:t xml:space="preserve">RACH-less and RACH-based </w:t>
      </w:r>
      <w:r w:rsidR="00655313">
        <w:t xml:space="preserve">conditional </w:t>
      </w:r>
      <w:r w:rsidR="007C26CD">
        <w:t>cell switch</w:t>
      </w:r>
      <w:r w:rsidR="00E5478F">
        <w:t xml:space="preserve"> (</w:t>
      </w:r>
      <w:r w:rsidR="007C5604">
        <w:t xml:space="preserve">i.e. </w:t>
      </w:r>
      <w:r w:rsidR="00E5478F">
        <w:t>with and without PDCCH ordered RACH)</w:t>
      </w:r>
      <w:r w:rsidR="007C26CD">
        <w:br/>
        <w:t>- C</w:t>
      </w:r>
      <w:r w:rsidR="00DC5115">
        <w:t>onditional c</w:t>
      </w:r>
      <w:r w:rsidR="007C26CD">
        <w:t>ell switch with and without early DL synchronization</w:t>
      </w:r>
      <w:r w:rsidR="00E5478F">
        <w:t xml:space="preserve"> (</w:t>
      </w:r>
      <w:r w:rsidR="007C5604">
        <w:t xml:space="preserve">i.e. </w:t>
      </w:r>
      <w:r w:rsidR="00E5478F">
        <w:t xml:space="preserve">with and without </w:t>
      </w:r>
      <w:r w:rsidR="0057449E">
        <w:t xml:space="preserve">early </w:t>
      </w:r>
      <w:r w:rsidR="00E5478F">
        <w:t>TCI state activation)</w:t>
      </w:r>
      <w:bookmarkEnd w:id="13"/>
    </w:p>
    <w:p w14:paraId="36CC58B3" w14:textId="272DCED4" w:rsidR="00D35F2B" w:rsidRDefault="00D35F2B" w:rsidP="00D35F2B">
      <w:r>
        <w:t xml:space="preserve">On high level, the setup of event-triggered L1 reporting can be followed in the CLTM test cases. There can be two cells in the test: serving cell and candidate cell. </w:t>
      </w:r>
      <w:r w:rsidR="00E501F3">
        <w:t xml:space="preserve">At some point after </w:t>
      </w:r>
      <w:r w:rsidR="0043272A">
        <w:t xml:space="preserve">reception of </w:t>
      </w:r>
      <w:r w:rsidR="00E501F3">
        <w:t xml:space="preserve">the conditional LTM configuration the cell switch condition becomes met during the test, and the UE shall switch to the candidate cell within the specified delay. </w:t>
      </w:r>
      <w:r w:rsidR="0079782B">
        <w:t>If early DL and UL synchronization are tested in the test case, these shall be timed correctly in the test case so that the UE can be ensured to have the DL synchronization and a valid TA at the time of condition becoming met.</w:t>
      </w:r>
    </w:p>
    <w:p w14:paraId="5E39C90B" w14:textId="4CE53345" w:rsidR="0079782B" w:rsidRDefault="000C5485" w:rsidP="0079782B">
      <w:pPr>
        <w:pStyle w:val="RAN4proposal"/>
      </w:pPr>
      <w:bookmarkStart w:id="14" w:name="_Toc197676334"/>
      <w:r>
        <w:lastRenderedPageBreak/>
        <w:t>On high level, CLTM test cases to have serving cell and candidate cell, and the UE shall trigger cell switch based on signal level of one of these cells changing so that the cell switch condition becomes met.</w:t>
      </w:r>
      <w:bookmarkEnd w:id="14"/>
    </w:p>
    <w:p w14:paraId="1780F2C0" w14:textId="1CED1B23" w:rsidR="0060543D" w:rsidRPr="008F786B" w:rsidRDefault="00872667" w:rsidP="005F18BE">
      <w:pPr>
        <w:pStyle w:val="RAN4proposal"/>
      </w:pPr>
      <w:bookmarkStart w:id="15" w:name="_Toc197676335"/>
      <w:r>
        <w:t xml:space="preserve">Ensure in the test cases with early UL and DL synchronization that the UE has valid DL synchronization </w:t>
      </w:r>
      <w:r w:rsidR="00605497">
        <w:t xml:space="preserve">for the target </w:t>
      </w:r>
      <w:r w:rsidR="00FB2919">
        <w:t>TCI state</w:t>
      </w:r>
      <w:r w:rsidR="00605497">
        <w:t xml:space="preserve"> </w:t>
      </w:r>
      <w:r>
        <w:t xml:space="preserve">and </w:t>
      </w:r>
      <w:r w:rsidR="00605497">
        <w:t xml:space="preserve">a valid </w:t>
      </w:r>
      <w:r>
        <w:t>TA at the time of condition becoming met.</w:t>
      </w:r>
      <w:bookmarkEnd w:id="15"/>
    </w:p>
    <w:p w14:paraId="48ED6C11" w14:textId="4F36D33F" w:rsidR="00893D2E" w:rsidRPr="008F786B" w:rsidRDefault="00893D2E">
      <w:pPr>
        <w:rPr>
          <w:rFonts w:ascii="Arial" w:eastAsia="SimSun" w:hAnsi="Arial" w:cs="Times New Roman"/>
          <w:sz w:val="36"/>
          <w:szCs w:val="20"/>
        </w:rPr>
      </w:pPr>
      <w:bookmarkStart w:id="16" w:name="_Toc116995848"/>
    </w:p>
    <w:p w14:paraId="5757AA7B" w14:textId="77777777" w:rsidR="00381F95" w:rsidRPr="008F786B" w:rsidRDefault="00CD7492" w:rsidP="00936159">
      <w:pPr>
        <w:pStyle w:val="RAN4H1"/>
      </w:pPr>
      <w:r w:rsidRPr="008F786B">
        <w:t>Conclusion</w:t>
      </w:r>
      <w:bookmarkEnd w:id="16"/>
    </w:p>
    <w:p w14:paraId="59341683"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14249638" w14:textId="736FFC25" w:rsidR="00D819D2"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7676325" w:history="1">
        <w:r w:rsidR="00D819D2" w:rsidRPr="00CC517F">
          <w:rPr>
            <w:rStyle w:val="Hyperlink"/>
            <w:noProof/>
          </w:rPr>
          <w:t xml:space="preserve">Proposal 1: Introduce the following test cases for event-triggered LTM L1 reporting: </w:t>
        </w:r>
        <w:r w:rsidR="00D819D2">
          <w:rPr>
            <w:rStyle w:val="Hyperlink"/>
            <w:noProof/>
          </w:rPr>
          <w:br/>
        </w:r>
        <w:r w:rsidR="00D819D2" w:rsidRPr="00CC517F">
          <w:rPr>
            <w:rStyle w:val="Hyperlink"/>
            <w:noProof/>
          </w:rPr>
          <w:t xml:space="preserve">- FR1 and FR2 Intra-frequency SSB-based event-triggered L1 reporting (without measurement gaps) </w:t>
        </w:r>
        <w:r w:rsidR="00D819D2">
          <w:rPr>
            <w:rStyle w:val="Hyperlink"/>
            <w:noProof/>
          </w:rPr>
          <w:br/>
        </w:r>
        <w:r w:rsidR="00D819D2" w:rsidRPr="00CC517F">
          <w:rPr>
            <w:rStyle w:val="Hyperlink"/>
            <w:noProof/>
          </w:rPr>
          <w:t xml:space="preserve">- FR1 and FR2 Inter-frequency SSB-based event-triggered L1 reporting (with and without measurement gaps) </w:t>
        </w:r>
        <w:r w:rsidR="00D819D2">
          <w:rPr>
            <w:rStyle w:val="Hyperlink"/>
            <w:noProof/>
          </w:rPr>
          <w:br/>
        </w:r>
        <w:r w:rsidR="00D819D2" w:rsidRPr="00CC517F">
          <w:rPr>
            <w:rStyle w:val="Hyperlink"/>
            <w:noProof/>
          </w:rPr>
          <w:t xml:space="preserve">- FR1 and FR2 Intra-frequency CSI-RS-based event-triggered L1 reporting (without measurement gaps) </w:t>
        </w:r>
        <w:r w:rsidR="00D819D2">
          <w:rPr>
            <w:rStyle w:val="Hyperlink"/>
            <w:noProof/>
          </w:rPr>
          <w:br/>
        </w:r>
        <w:r w:rsidR="00D819D2" w:rsidRPr="00CC517F">
          <w:rPr>
            <w:rStyle w:val="Hyperlink"/>
            <w:noProof/>
          </w:rPr>
          <w:t>- At least 1 test case for event-triggered periodic reporting.</w:t>
        </w:r>
      </w:hyperlink>
    </w:p>
    <w:p w14:paraId="5AA38FAD" w14:textId="77777777" w:rsidR="00D819D2" w:rsidRDefault="00D819D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76326" w:history="1">
        <w:r w:rsidRPr="00CC517F">
          <w:rPr>
            <w:rStyle w:val="Hyperlink"/>
            <w:noProof/>
          </w:rPr>
          <w:t>Proposal 2: On high level, the test cases for event-triggered L1 reporting can have two cells (serving and candidate), and the signal level of one of these cells is to be changed during the test so that the reporting condition becomes met. UE shall send the report within the specified delay after the condition becomes met.</w:t>
        </w:r>
      </w:hyperlink>
    </w:p>
    <w:p w14:paraId="4FCBB591" w14:textId="77777777" w:rsidR="00D819D2" w:rsidRDefault="00D819D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76327" w:history="1">
        <w:r w:rsidRPr="00CC517F">
          <w:rPr>
            <w:rStyle w:val="Hyperlink"/>
            <w:noProof/>
          </w:rPr>
          <w:t>Proposal 3: Define FR1 and FR2 test cases to contain only 48 PRBs within the active BWP</w:t>
        </w:r>
      </w:hyperlink>
    </w:p>
    <w:p w14:paraId="55014DB9" w14:textId="77777777" w:rsidR="00D819D2" w:rsidRDefault="00D819D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76328" w:history="1">
        <w:r w:rsidRPr="00CC517F">
          <w:rPr>
            <w:rStyle w:val="Hyperlink"/>
            <w:noProof/>
          </w:rPr>
          <w:t>Proposal 4: Define FR1 intra-frequency without gaps test case.</w:t>
        </w:r>
      </w:hyperlink>
    </w:p>
    <w:p w14:paraId="2E0F8814" w14:textId="77777777" w:rsidR="00D819D2" w:rsidRDefault="00D819D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76329" w:history="1">
        <w:r w:rsidRPr="00CC517F">
          <w:rPr>
            <w:rStyle w:val="Hyperlink"/>
            <w:noProof/>
          </w:rPr>
          <w:t>Proposal 5: Define FR2 intra-frequency without gaps test case with CSI-RS beam sweeping and without FR2 SSB measurements.</w:t>
        </w:r>
      </w:hyperlink>
    </w:p>
    <w:p w14:paraId="24E420E3" w14:textId="77777777" w:rsidR="00D819D2" w:rsidRDefault="00D819D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76330" w:history="1">
        <w:r w:rsidRPr="00CC517F">
          <w:rPr>
            <w:rStyle w:val="Hyperlink"/>
            <w:noProof/>
          </w:rPr>
          <w:t>Proposal 6: Define FR2 intra-frequency without gaps test case without CSI-RS sweeping and with FR2 SSB measurements.</w:t>
        </w:r>
      </w:hyperlink>
    </w:p>
    <w:p w14:paraId="5ECE7217" w14:textId="77777777" w:rsidR="00D819D2" w:rsidRDefault="00D819D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76331" w:history="1">
        <w:r w:rsidRPr="00CC517F">
          <w:rPr>
            <w:rStyle w:val="Hyperlink"/>
            <w:noProof/>
          </w:rPr>
          <w:t>Proposal 7: Conditional to core requirements discussion, define FR1 and FR2 test cases where the serving cell is one of the LTM candidate cells.</w:t>
        </w:r>
      </w:hyperlink>
    </w:p>
    <w:p w14:paraId="30FBBD17" w14:textId="77777777" w:rsidR="00D819D2" w:rsidRDefault="00D819D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76332" w:history="1">
        <w:r w:rsidRPr="00CC517F">
          <w:rPr>
            <w:rStyle w:val="Hyperlink"/>
            <w:noProof/>
          </w:rPr>
          <w:t>Proposal 8: Define at least one test case with semi-persistent CSI-RS resource. Test cases not defined as semi-persistent have periodic CSI-RS resource configuration. Discuss whether the semi-persistent test case is an independent test case.</w:t>
        </w:r>
      </w:hyperlink>
    </w:p>
    <w:p w14:paraId="4491E1F0" w14:textId="3BC02F78" w:rsidR="00D819D2" w:rsidRDefault="00D819D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76333" w:history="1">
        <w:r w:rsidRPr="00CC517F">
          <w:rPr>
            <w:rStyle w:val="Hyperlink"/>
            <w:noProof/>
          </w:rPr>
          <w:t xml:space="preserve">Proposal 9: RAN4 to discuss how to ensure proper testing of CLTM cell switch delay taking into account the testing of: </w:t>
        </w:r>
        <w:r>
          <w:rPr>
            <w:rStyle w:val="Hyperlink"/>
            <w:noProof/>
          </w:rPr>
          <w:br/>
        </w:r>
        <w:r w:rsidRPr="00CC517F">
          <w:rPr>
            <w:rStyle w:val="Hyperlink"/>
            <w:noProof/>
          </w:rPr>
          <w:t xml:space="preserve">- L1-based conditional cell switch (intra- and inter-frequency, FR1 to FR1 and FR2 to FR2) and L3-based conditional cell switch (intra- and inter-frequency FR1 to FR1) </w:t>
        </w:r>
        <w:r>
          <w:rPr>
            <w:rStyle w:val="Hyperlink"/>
            <w:noProof/>
          </w:rPr>
          <w:br/>
        </w:r>
        <w:r w:rsidRPr="00CC517F">
          <w:rPr>
            <w:rStyle w:val="Hyperlink"/>
            <w:noProof/>
          </w:rPr>
          <w:t xml:space="preserve">- RACH-less and RACH-based conditional cell switch (i.e. with and without PDCCH ordered RACH) </w:t>
        </w:r>
        <w:r>
          <w:rPr>
            <w:rStyle w:val="Hyperlink"/>
            <w:noProof/>
          </w:rPr>
          <w:br/>
        </w:r>
        <w:r w:rsidRPr="00CC517F">
          <w:rPr>
            <w:rStyle w:val="Hyperlink"/>
            <w:noProof/>
          </w:rPr>
          <w:t>- Conditional cell switch with and without early DL synchronization (i.e. with and without early TCI state activation)</w:t>
        </w:r>
      </w:hyperlink>
    </w:p>
    <w:p w14:paraId="2B959213" w14:textId="77777777" w:rsidR="00D819D2" w:rsidRDefault="00D819D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76334" w:history="1">
        <w:r w:rsidRPr="00CC517F">
          <w:rPr>
            <w:rStyle w:val="Hyperlink"/>
            <w:noProof/>
          </w:rPr>
          <w:t>Proposal 10: On high level, CLTM test cases to have serving cell and candidate cell, and the UE shall trigger cell switch based on signal level of one of these cells changing so that the cell switch condition becomes met.</w:t>
        </w:r>
      </w:hyperlink>
    </w:p>
    <w:p w14:paraId="2411AD3C" w14:textId="77777777" w:rsidR="00D819D2" w:rsidRDefault="00D819D2">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76335" w:history="1">
        <w:r w:rsidRPr="00CC517F">
          <w:rPr>
            <w:rStyle w:val="Hyperlink"/>
            <w:noProof/>
          </w:rPr>
          <w:t>Proposal 11: Ensure in the test cases with early UL and DL synchronization that the UE has valid DL synchronization for the target TCI state and a valid TA at the time of condition becoming met.</w:t>
        </w:r>
      </w:hyperlink>
    </w:p>
    <w:p w14:paraId="408E40A9" w14:textId="552F9177" w:rsidR="00847264" w:rsidRPr="008F786B" w:rsidRDefault="00A4355E" w:rsidP="008C39F7">
      <w:r w:rsidRPr="008F786B">
        <w:fldChar w:fldCharType="end"/>
      </w:r>
      <w:bookmarkStart w:id="17" w:name="_Toc116995849"/>
    </w:p>
    <w:bookmarkEnd w:id="17"/>
    <w:p w14:paraId="0D4C125B" w14:textId="77777777" w:rsidR="00E82B94" w:rsidRPr="008F786B" w:rsidRDefault="00E82B94" w:rsidP="00E82B94">
      <w:pPr>
        <w:pStyle w:val="ListParagraph"/>
        <w:ind w:right="-22"/>
      </w:pPr>
    </w:p>
    <w:p w14:paraId="3A68D42C"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7BE29" w14:textId="77777777" w:rsidR="00785B31" w:rsidRDefault="00785B31" w:rsidP="00001C9B">
      <w:pPr>
        <w:spacing w:after="0" w:line="240" w:lineRule="auto"/>
      </w:pPr>
      <w:r>
        <w:separator/>
      </w:r>
    </w:p>
  </w:endnote>
  <w:endnote w:type="continuationSeparator" w:id="0">
    <w:p w14:paraId="3CFD7638" w14:textId="77777777" w:rsidR="00785B31" w:rsidRDefault="00785B31" w:rsidP="00001C9B">
      <w:pPr>
        <w:spacing w:after="0" w:line="240" w:lineRule="auto"/>
      </w:pPr>
      <w:r>
        <w:continuationSeparator/>
      </w:r>
    </w:p>
  </w:endnote>
  <w:endnote w:type="continuationNotice" w:id="1">
    <w:p w14:paraId="282FF0F4" w14:textId="77777777" w:rsidR="00785B31" w:rsidRDefault="00785B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34663" w14:textId="77777777" w:rsidR="00785B31" w:rsidRDefault="00785B31" w:rsidP="00001C9B">
      <w:pPr>
        <w:spacing w:after="0" w:line="240" w:lineRule="auto"/>
      </w:pPr>
      <w:r>
        <w:separator/>
      </w:r>
    </w:p>
  </w:footnote>
  <w:footnote w:type="continuationSeparator" w:id="0">
    <w:p w14:paraId="2DF65CB0" w14:textId="77777777" w:rsidR="00785B31" w:rsidRDefault="00785B31" w:rsidP="00001C9B">
      <w:pPr>
        <w:spacing w:after="0" w:line="240" w:lineRule="auto"/>
      </w:pPr>
      <w:r>
        <w:continuationSeparator/>
      </w:r>
    </w:p>
  </w:footnote>
  <w:footnote w:type="continuationNotice" w:id="1">
    <w:p w14:paraId="62AB8978" w14:textId="77777777" w:rsidR="00785B31" w:rsidRDefault="00785B3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347E3B"/>
    <w:multiLevelType w:val="hybridMultilevel"/>
    <w:tmpl w:val="0840D182"/>
    <w:lvl w:ilvl="0" w:tplc="51C0AD7C">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1"/>
  </w:num>
  <w:num w:numId="4" w16cid:durableId="517735681">
    <w:abstractNumId w:val="6"/>
  </w:num>
  <w:num w:numId="5" w16cid:durableId="1142041724">
    <w:abstractNumId w:val="14"/>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5"/>
  </w:num>
  <w:num w:numId="16" w16cid:durableId="516113510">
    <w:abstractNumId w:val="4"/>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2"/>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16"/>
  </w:num>
  <w:num w:numId="28" w16cid:durableId="2095668156">
    <w:abstractNumId w:val="3"/>
  </w:num>
  <w:num w:numId="29" w16cid:durableId="5171635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138A6"/>
    <w:rsid w:val="00001C9B"/>
    <w:rsid w:val="000040DC"/>
    <w:rsid w:val="00011784"/>
    <w:rsid w:val="000151EF"/>
    <w:rsid w:val="000239F5"/>
    <w:rsid w:val="0002455C"/>
    <w:rsid w:val="000451D7"/>
    <w:rsid w:val="00061256"/>
    <w:rsid w:val="000614D0"/>
    <w:rsid w:val="00061EFB"/>
    <w:rsid w:val="00065E6A"/>
    <w:rsid w:val="00072CCA"/>
    <w:rsid w:val="0007601C"/>
    <w:rsid w:val="00081544"/>
    <w:rsid w:val="0008612A"/>
    <w:rsid w:val="00090E18"/>
    <w:rsid w:val="000A10BC"/>
    <w:rsid w:val="000A7F53"/>
    <w:rsid w:val="000B0056"/>
    <w:rsid w:val="000B0B7C"/>
    <w:rsid w:val="000B6870"/>
    <w:rsid w:val="000C213F"/>
    <w:rsid w:val="000C3C7B"/>
    <w:rsid w:val="000C5485"/>
    <w:rsid w:val="000D0F93"/>
    <w:rsid w:val="000D46F6"/>
    <w:rsid w:val="000D7379"/>
    <w:rsid w:val="000F187D"/>
    <w:rsid w:val="000F7B56"/>
    <w:rsid w:val="0010597B"/>
    <w:rsid w:val="00106416"/>
    <w:rsid w:val="00110481"/>
    <w:rsid w:val="001127C9"/>
    <w:rsid w:val="00113405"/>
    <w:rsid w:val="00114498"/>
    <w:rsid w:val="00114D7C"/>
    <w:rsid w:val="00115B88"/>
    <w:rsid w:val="00125A0F"/>
    <w:rsid w:val="001308FF"/>
    <w:rsid w:val="00132F6A"/>
    <w:rsid w:val="00133913"/>
    <w:rsid w:val="00134705"/>
    <w:rsid w:val="00135A96"/>
    <w:rsid w:val="00140221"/>
    <w:rsid w:val="00143EE4"/>
    <w:rsid w:val="001545A9"/>
    <w:rsid w:val="00161913"/>
    <w:rsid w:val="001642FC"/>
    <w:rsid w:val="0016496B"/>
    <w:rsid w:val="001743E2"/>
    <w:rsid w:val="001745F8"/>
    <w:rsid w:val="001838CF"/>
    <w:rsid w:val="00183C22"/>
    <w:rsid w:val="001848AB"/>
    <w:rsid w:val="001868EE"/>
    <w:rsid w:val="00194AEC"/>
    <w:rsid w:val="001A3BA4"/>
    <w:rsid w:val="001A4C2A"/>
    <w:rsid w:val="001A6D1F"/>
    <w:rsid w:val="001A6E30"/>
    <w:rsid w:val="001B1EA8"/>
    <w:rsid w:val="001C7156"/>
    <w:rsid w:val="001E30F6"/>
    <w:rsid w:val="001F07F9"/>
    <w:rsid w:val="00216379"/>
    <w:rsid w:val="00217EE5"/>
    <w:rsid w:val="00233C06"/>
    <w:rsid w:val="0023559D"/>
    <w:rsid w:val="00235F5C"/>
    <w:rsid w:val="00237439"/>
    <w:rsid w:val="0024235F"/>
    <w:rsid w:val="002433E2"/>
    <w:rsid w:val="00255D6A"/>
    <w:rsid w:val="00257FA3"/>
    <w:rsid w:val="00274922"/>
    <w:rsid w:val="00277B56"/>
    <w:rsid w:val="00282A74"/>
    <w:rsid w:val="002849D4"/>
    <w:rsid w:val="00295E70"/>
    <w:rsid w:val="002A19F5"/>
    <w:rsid w:val="002B107D"/>
    <w:rsid w:val="002B4922"/>
    <w:rsid w:val="002B69F3"/>
    <w:rsid w:val="002C22C3"/>
    <w:rsid w:val="002C2D19"/>
    <w:rsid w:val="002D10FA"/>
    <w:rsid w:val="002D4C55"/>
    <w:rsid w:val="002E6DED"/>
    <w:rsid w:val="002F23D5"/>
    <w:rsid w:val="00300956"/>
    <w:rsid w:val="00301281"/>
    <w:rsid w:val="003020CA"/>
    <w:rsid w:val="0030243F"/>
    <w:rsid w:val="00307EE8"/>
    <w:rsid w:val="00312CCB"/>
    <w:rsid w:val="00317187"/>
    <w:rsid w:val="0032499A"/>
    <w:rsid w:val="00333BFD"/>
    <w:rsid w:val="003341F7"/>
    <w:rsid w:val="00347FEC"/>
    <w:rsid w:val="003501F4"/>
    <w:rsid w:val="003509DF"/>
    <w:rsid w:val="00356F45"/>
    <w:rsid w:val="0036283D"/>
    <w:rsid w:val="0036669A"/>
    <w:rsid w:val="00366B74"/>
    <w:rsid w:val="003774C0"/>
    <w:rsid w:val="00377547"/>
    <w:rsid w:val="00380E22"/>
    <w:rsid w:val="00381F95"/>
    <w:rsid w:val="00391451"/>
    <w:rsid w:val="003A1C06"/>
    <w:rsid w:val="003A5FC1"/>
    <w:rsid w:val="003A710A"/>
    <w:rsid w:val="003B4307"/>
    <w:rsid w:val="003B659E"/>
    <w:rsid w:val="003C275E"/>
    <w:rsid w:val="003C4FDE"/>
    <w:rsid w:val="003E1D75"/>
    <w:rsid w:val="003E58DF"/>
    <w:rsid w:val="003F3452"/>
    <w:rsid w:val="003F7007"/>
    <w:rsid w:val="00404C4C"/>
    <w:rsid w:val="0041423F"/>
    <w:rsid w:val="00414F81"/>
    <w:rsid w:val="0042073D"/>
    <w:rsid w:val="00424552"/>
    <w:rsid w:val="00426B9A"/>
    <w:rsid w:val="0043272A"/>
    <w:rsid w:val="00436A0F"/>
    <w:rsid w:val="00437150"/>
    <w:rsid w:val="0043750A"/>
    <w:rsid w:val="00447577"/>
    <w:rsid w:val="004523BF"/>
    <w:rsid w:val="00461B18"/>
    <w:rsid w:val="004732E9"/>
    <w:rsid w:val="00474001"/>
    <w:rsid w:val="00482C3A"/>
    <w:rsid w:val="004854BB"/>
    <w:rsid w:val="00486512"/>
    <w:rsid w:val="00494493"/>
    <w:rsid w:val="00496606"/>
    <w:rsid w:val="004D17BC"/>
    <w:rsid w:val="004E5E66"/>
    <w:rsid w:val="004E7ADB"/>
    <w:rsid w:val="004F35D0"/>
    <w:rsid w:val="00503B4D"/>
    <w:rsid w:val="00504EE9"/>
    <w:rsid w:val="00514E4F"/>
    <w:rsid w:val="00521576"/>
    <w:rsid w:val="005250E6"/>
    <w:rsid w:val="00542D23"/>
    <w:rsid w:val="0054442C"/>
    <w:rsid w:val="00550285"/>
    <w:rsid w:val="0055400E"/>
    <w:rsid w:val="00562492"/>
    <w:rsid w:val="005624E0"/>
    <w:rsid w:val="005710E5"/>
    <w:rsid w:val="00571C0E"/>
    <w:rsid w:val="00572A20"/>
    <w:rsid w:val="0057449E"/>
    <w:rsid w:val="00576998"/>
    <w:rsid w:val="00581618"/>
    <w:rsid w:val="005836F8"/>
    <w:rsid w:val="005918FA"/>
    <w:rsid w:val="00592A86"/>
    <w:rsid w:val="005948F1"/>
    <w:rsid w:val="005A1BC4"/>
    <w:rsid w:val="005B3029"/>
    <w:rsid w:val="005B4801"/>
    <w:rsid w:val="005C128A"/>
    <w:rsid w:val="005C23A4"/>
    <w:rsid w:val="005C6B34"/>
    <w:rsid w:val="005C7EFA"/>
    <w:rsid w:val="005D1CDF"/>
    <w:rsid w:val="005D2BB7"/>
    <w:rsid w:val="005D6FFE"/>
    <w:rsid w:val="005E61A8"/>
    <w:rsid w:val="005F347B"/>
    <w:rsid w:val="005F6111"/>
    <w:rsid w:val="005F6419"/>
    <w:rsid w:val="00600E95"/>
    <w:rsid w:val="0060301D"/>
    <w:rsid w:val="0060543D"/>
    <w:rsid w:val="00605497"/>
    <w:rsid w:val="006104DD"/>
    <w:rsid w:val="006130B5"/>
    <w:rsid w:val="00614DD8"/>
    <w:rsid w:val="00615682"/>
    <w:rsid w:val="00617400"/>
    <w:rsid w:val="00632D29"/>
    <w:rsid w:val="0064171D"/>
    <w:rsid w:val="00652564"/>
    <w:rsid w:val="00655313"/>
    <w:rsid w:val="00660E0C"/>
    <w:rsid w:val="00664950"/>
    <w:rsid w:val="00680C84"/>
    <w:rsid w:val="00683220"/>
    <w:rsid w:val="0068781B"/>
    <w:rsid w:val="00687FA0"/>
    <w:rsid w:val="006A3C11"/>
    <w:rsid w:val="006B7010"/>
    <w:rsid w:val="006C3095"/>
    <w:rsid w:val="006C37CC"/>
    <w:rsid w:val="006D0A28"/>
    <w:rsid w:val="006D1DFA"/>
    <w:rsid w:val="006E1151"/>
    <w:rsid w:val="006E29BE"/>
    <w:rsid w:val="006E54C6"/>
    <w:rsid w:val="006E6311"/>
    <w:rsid w:val="00701D91"/>
    <w:rsid w:val="007145FF"/>
    <w:rsid w:val="00715B2A"/>
    <w:rsid w:val="007275C3"/>
    <w:rsid w:val="00733B21"/>
    <w:rsid w:val="007376A9"/>
    <w:rsid w:val="007450F1"/>
    <w:rsid w:val="00746111"/>
    <w:rsid w:val="00751515"/>
    <w:rsid w:val="007626B7"/>
    <w:rsid w:val="0078212B"/>
    <w:rsid w:val="00784DF6"/>
    <w:rsid w:val="00785232"/>
    <w:rsid w:val="00785B31"/>
    <w:rsid w:val="00791D30"/>
    <w:rsid w:val="0079700A"/>
    <w:rsid w:val="0079782B"/>
    <w:rsid w:val="007A2588"/>
    <w:rsid w:val="007B186C"/>
    <w:rsid w:val="007C1696"/>
    <w:rsid w:val="007C26CD"/>
    <w:rsid w:val="007C3ED0"/>
    <w:rsid w:val="007C42D7"/>
    <w:rsid w:val="007C48C4"/>
    <w:rsid w:val="007C5604"/>
    <w:rsid w:val="007C5971"/>
    <w:rsid w:val="007C6ED6"/>
    <w:rsid w:val="007D2A22"/>
    <w:rsid w:val="007D3D4C"/>
    <w:rsid w:val="007E2818"/>
    <w:rsid w:val="007E42DC"/>
    <w:rsid w:val="007E4668"/>
    <w:rsid w:val="007F4070"/>
    <w:rsid w:val="007F54B9"/>
    <w:rsid w:val="00806A76"/>
    <w:rsid w:val="00811C9D"/>
    <w:rsid w:val="00816C80"/>
    <w:rsid w:val="0081797B"/>
    <w:rsid w:val="00821FB2"/>
    <w:rsid w:val="0082796A"/>
    <w:rsid w:val="0083596E"/>
    <w:rsid w:val="0083707A"/>
    <w:rsid w:val="00841BCD"/>
    <w:rsid w:val="00847264"/>
    <w:rsid w:val="0084742B"/>
    <w:rsid w:val="00851A8E"/>
    <w:rsid w:val="0085365B"/>
    <w:rsid w:val="008622F7"/>
    <w:rsid w:val="008648C8"/>
    <w:rsid w:val="00866210"/>
    <w:rsid w:val="008668DA"/>
    <w:rsid w:val="00872667"/>
    <w:rsid w:val="00876AFC"/>
    <w:rsid w:val="008826C1"/>
    <w:rsid w:val="00883DFD"/>
    <w:rsid w:val="00884AD9"/>
    <w:rsid w:val="0089210C"/>
    <w:rsid w:val="00893D2E"/>
    <w:rsid w:val="008948A5"/>
    <w:rsid w:val="008A1BF7"/>
    <w:rsid w:val="008A5B0E"/>
    <w:rsid w:val="008B0961"/>
    <w:rsid w:val="008B0AF3"/>
    <w:rsid w:val="008B5AB4"/>
    <w:rsid w:val="008C39F7"/>
    <w:rsid w:val="008D0E7E"/>
    <w:rsid w:val="008E1B93"/>
    <w:rsid w:val="008E4981"/>
    <w:rsid w:val="008F786B"/>
    <w:rsid w:val="0090091A"/>
    <w:rsid w:val="0090373B"/>
    <w:rsid w:val="009042BD"/>
    <w:rsid w:val="00904FE4"/>
    <w:rsid w:val="00906AD8"/>
    <w:rsid w:val="00907F9D"/>
    <w:rsid w:val="0092046B"/>
    <w:rsid w:val="00927740"/>
    <w:rsid w:val="00931110"/>
    <w:rsid w:val="00936159"/>
    <w:rsid w:val="00946439"/>
    <w:rsid w:val="00962C29"/>
    <w:rsid w:val="009774A0"/>
    <w:rsid w:val="00977E1D"/>
    <w:rsid w:val="00977EDD"/>
    <w:rsid w:val="009A32FE"/>
    <w:rsid w:val="009B0573"/>
    <w:rsid w:val="009B7B4B"/>
    <w:rsid w:val="009B7C21"/>
    <w:rsid w:val="009C1DE8"/>
    <w:rsid w:val="009C3D6D"/>
    <w:rsid w:val="009D718E"/>
    <w:rsid w:val="009E4E6E"/>
    <w:rsid w:val="009E5FA9"/>
    <w:rsid w:val="00A0246E"/>
    <w:rsid w:val="00A04992"/>
    <w:rsid w:val="00A147AA"/>
    <w:rsid w:val="00A21D71"/>
    <w:rsid w:val="00A223F0"/>
    <w:rsid w:val="00A22B78"/>
    <w:rsid w:val="00A246F7"/>
    <w:rsid w:val="00A25AE5"/>
    <w:rsid w:val="00A26442"/>
    <w:rsid w:val="00A37002"/>
    <w:rsid w:val="00A4355E"/>
    <w:rsid w:val="00A517BA"/>
    <w:rsid w:val="00A520D9"/>
    <w:rsid w:val="00A64DA0"/>
    <w:rsid w:val="00A710A9"/>
    <w:rsid w:val="00A71F8B"/>
    <w:rsid w:val="00A74866"/>
    <w:rsid w:val="00A85DB7"/>
    <w:rsid w:val="00A92BCD"/>
    <w:rsid w:val="00AA1B0E"/>
    <w:rsid w:val="00AA47B6"/>
    <w:rsid w:val="00AB79EE"/>
    <w:rsid w:val="00AC06C0"/>
    <w:rsid w:val="00AC163B"/>
    <w:rsid w:val="00AC5CA7"/>
    <w:rsid w:val="00AC6058"/>
    <w:rsid w:val="00AE2BA5"/>
    <w:rsid w:val="00AE56B1"/>
    <w:rsid w:val="00AE6D09"/>
    <w:rsid w:val="00AF7A7C"/>
    <w:rsid w:val="00B02070"/>
    <w:rsid w:val="00B23A43"/>
    <w:rsid w:val="00B258FE"/>
    <w:rsid w:val="00B26A8A"/>
    <w:rsid w:val="00B33E2F"/>
    <w:rsid w:val="00B408B6"/>
    <w:rsid w:val="00B542DA"/>
    <w:rsid w:val="00B55918"/>
    <w:rsid w:val="00B62A40"/>
    <w:rsid w:val="00B66B7D"/>
    <w:rsid w:val="00B735E7"/>
    <w:rsid w:val="00B73862"/>
    <w:rsid w:val="00B73F43"/>
    <w:rsid w:val="00B75BBF"/>
    <w:rsid w:val="00B81CDC"/>
    <w:rsid w:val="00BA308C"/>
    <w:rsid w:val="00BA559B"/>
    <w:rsid w:val="00BA5B30"/>
    <w:rsid w:val="00BA6B66"/>
    <w:rsid w:val="00BA6E48"/>
    <w:rsid w:val="00BD1174"/>
    <w:rsid w:val="00BD5806"/>
    <w:rsid w:val="00BE0AF6"/>
    <w:rsid w:val="00BE1F03"/>
    <w:rsid w:val="00BE58A7"/>
    <w:rsid w:val="00BF2218"/>
    <w:rsid w:val="00C0426B"/>
    <w:rsid w:val="00C045DF"/>
    <w:rsid w:val="00C26D43"/>
    <w:rsid w:val="00C35173"/>
    <w:rsid w:val="00C43F4A"/>
    <w:rsid w:val="00C46548"/>
    <w:rsid w:val="00C574D5"/>
    <w:rsid w:val="00C661F7"/>
    <w:rsid w:val="00C72B3C"/>
    <w:rsid w:val="00C73F32"/>
    <w:rsid w:val="00C85168"/>
    <w:rsid w:val="00C851E4"/>
    <w:rsid w:val="00C87462"/>
    <w:rsid w:val="00CA180C"/>
    <w:rsid w:val="00CB22B2"/>
    <w:rsid w:val="00CC3EE2"/>
    <w:rsid w:val="00CC520B"/>
    <w:rsid w:val="00CD6C0E"/>
    <w:rsid w:val="00CD7492"/>
    <w:rsid w:val="00CE3A6B"/>
    <w:rsid w:val="00D00211"/>
    <w:rsid w:val="00D006D1"/>
    <w:rsid w:val="00D025AE"/>
    <w:rsid w:val="00D03109"/>
    <w:rsid w:val="00D06309"/>
    <w:rsid w:val="00D1066E"/>
    <w:rsid w:val="00D1109D"/>
    <w:rsid w:val="00D138A6"/>
    <w:rsid w:val="00D25203"/>
    <w:rsid w:val="00D351EA"/>
    <w:rsid w:val="00D35F2B"/>
    <w:rsid w:val="00D40288"/>
    <w:rsid w:val="00D43403"/>
    <w:rsid w:val="00D46703"/>
    <w:rsid w:val="00D50A6B"/>
    <w:rsid w:val="00D5270B"/>
    <w:rsid w:val="00D62E71"/>
    <w:rsid w:val="00D6430D"/>
    <w:rsid w:val="00D66188"/>
    <w:rsid w:val="00D731F6"/>
    <w:rsid w:val="00D740CA"/>
    <w:rsid w:val="00D816F8"/>
    <w:rsid w:val="00D819D2"/>
    <w:rsid w:val="00D85728"/>
    <w:rsid w:val="00D92FC6"/>
    <w:rsid w:val="00D95481"/>
    <w:rsid w:val="00D96851"/>
    <w:rsid w:val="00D96E40"/>
    <w:rsid w:val="00DA5D25"/>
    <w:rsid w:val="00DC3E7E"/>
    <w:rsid w:val="00DC5115"/>
    <w:rsid w:val="00DC55BA"/>
    <w:rsid w:val="00DC7A13"/>
    <w:rsid w:val="00DE7064"/>
    <w:rsid w:val="00DF2997"/>
    <w:rsid w:val="00E0790B"/>
    <w:rsid w:val="00E10BC4"/>
    <w:rsid w:val="00E1415D"/>
    <w:rsid w:val="00E15B76"/>
    <w:rsid w:val="00E213BD"/>
    <w:rsid w:val="00E233D3"/>
    <w:rsid w:val="00E2521D"/>
    <w:rsid w:val="00E31966"/>
    <w:rsid w:val="00E323E9"/>
    <w:rsid w:val="00E3262E"/>
    <w:rsid w:val="00E3267C"/>
    <w:rsid w:val="00E32FB6"/>
    <w:rsid w:val="00E34018"/>
    <w:rsid w:val="00E437D2"/>
    <w:rsid w:val="00E43BF9"/>
    <w:rsid w:val="00E46903"/>
    <w:rsid w:val="00E47BC6"/>
    <w:rsid w:val="00E501F3"/>
    <w:rsid w:val="00E51930"/>
    <w:rsid w:val="00E5478F"/>
    <w:rsid w:val="00E54B70"/>
    <w:rsid w:val="00E55751"/>
    <w:rsid w:val="00E5652C"/>
    <w:rsid w:val="00E70F7B"/>
    <w:rsid w:val="00E7398E"/>
    <w:rsid w:val="00E82B94"/>
    <w:rsid w:val="00E87217"/>
    <w:rsid w:val="00EA1BC7"/>
    <w:rsid w:val="00EA2311"/>
    <w:rsid w:val="00EC5D4F"/>
    <w:rsid w:val="00EC65F0"/>
    <w:rsid w:val="00EC724F"/>
    <w:rsid w:val="00EC7BC3"/>
    <w:rsid w:val="00ED383B"/>
    <w:rsid w:val="00ED4EB4"/>
    <w:rsid w:val="00ED7600"/>
    <w:rsid w:val="00EF6073"/>
    <w:rsid w:val="00EF698B"/>
    <w:rsid w:val="00F04D07"/>
    <w:rsid w:val="00F1362C"/>
    <w:rsid w:val="00F27DBB"/>
    <w:rsid w:val="00F414F1"/>
    <w:rsid w:val="00F50480"/>
    <w:rsid w:val="00F508B8"/>
    <w:rsid w:val="00F50D03"/>
    <w:rsid w:val="00F547AB"/>
    <w:rsid w:val="00F72CB1"/>
    <w:rsid w:val="00F80802"/>
    <w:rsid w:val="00F8215E"/>
    <w:rsid w:val="00F824F5"/>
    <w:rsid w:val="00F90FAB"/>
    <w:rsid w:val="00F9374D"/>
    <w:rsid w:val="00FB126F"/>
    <w:rsid w:val="00FB2919"/>
    <w:rsid w:val="00FB6924"/>
    <w:rsid w:val="00FB7658"/>
    <w:rsid w:val="00FC29B9"/>
    <w:rsid w:val="00FC6FD3"/>
    <w:rsid w:val="00FC7ACD"/>
    <w:rsid w:val="00FE305C"/>
    <w:rsid w:val="00FF0301"/>
    <w:rsid w:val="00FF0F7D"/>
    <w:rsid w:val="00FF4902"/>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7F807"/>
  <w15:chartTrackingRefBased/>
  <w15:docId w15:val="{F3B20DED-53B5-4714-A6E6-9005913F5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E3267C"/>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inulai\Nokia\Generation%20X+%20Research%20and%20Standardization%20Program%20(GX+)%20-%20TSG%20RAN%20Plenary%20and%20WGs\RAN4%20SCG\RAN4%20meetings\RAN4%20115%20-%20Malta\!Templates\TDoc_Template_RAN4%23114bis-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RBI5PAMIO524-1616901215-46067</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https://nokia.sharepoint.com/sites/gxp/_layouts/15/DocIdRedir.aspx?ID=RBI5PAMIO524-1616901215-46067</Url>
      <Description>RBI5PAMIO524-1616901215-46067</Description>
    </_dlc_DocIdUrl>
    <Comments xmlns="3f2ce089-3858-4176-9a21-a30f9204848e">OK</Comments>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3.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6.xml><?xml version="1.0" encoding="utf-8"?>
<ds:datastoreItem xmlns:ds="http://schemas.openxmlformats.org/officeDocument/2006/customXml" ds:itemID="{2AC92E8D-05AD-48DE-AA46-06362F01F446}">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TDoc_Template_RAN4#114bis-light</Template>
  <TotalTime>205</TotalTime>
  <Pages>3</Pages>
  <Words>1503</Words>
  <Characters>8569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10052</CharactersWithSpaces>
  <SharedDoc>false</SharedDoc>
  <HLinks>
    <vt:vector size="30" baseType="variant">
      <vt:variant>
        <vt:i4>1703985</vt:i4>
      </vt:variant>
      <vt:variant>
        <vt:i4>14</vt:i4>
      </vt:variant>
      <vt:variant>
        <vt:i4>0</vt:i4>
      </vt:variant>
      <vt:variant>
        <vt:i4>5</vt:i4>
      </vt:variant>
      <vt:variant>
        <vt:lpwstr/>
      </vt:variant>
      <vt:variant>
        <vt:lpwstr>_Toc197512637</vt:lpwstr>
      </vt:variant>
      <vt:variant>
        <vt:i4>1703985</vt:i4>
      </vt:variant>
      <vt:variant>
        <vt:i4>11</vt:i4>
      </vt:variant>
      <vt:variant>
        <vt:i4>0</vt:i4>
      </vt:variant>
      <vt:variant>
        <vt:i4>5</vt:i4>
      </vt:variant>
      <vt:variant>
        <vt:lpwstr/>
      </vt:variant>
      <vt:variant>
        <vt:lpwstr>_Toc197512636</vt:lpwstr>
      </vt:variant>
      <vt:variant>
        <vt:i4>1703985</vt:i4>
      </vt:variant>
      <vt:variant>
        <vt:i4>8</vt:i4>
      </vt:variant>
      <vt:variant>
        <vt:i4>0</vt:i4>
      </vt:variant>
      <vt:variant>
        <vt:i4>5</vt:i4>
      </vt:variant>
      <vt:variant>
        <vt:lpwstr/>
      </vt:variant>
      <vt:variant>
        <vt:lpwstr>_Toc197512635</vt:lpwstr>
      </vt:variant>
      <vt:variant>
        <vt:i4>1703985</vt:i4>
      </vt:variant>
      <vt:variant>
        <vt:i4>5</vt:i4>
      </vt:variant>
      <vt:variant>
        <vt:i4>0</vt:i4>
      </vt:variant>
      <vt:variant>
        <vt:i4>5</vt:i4>
      </vt:variant>
      <vt:variant>
        <vt:lpwstr/>
      </vt:variant>
      <vt:variant>
        <vt:lpwstr>_Toc197512634</vt:lpwstr>
      </vt:variant>
      <vt:variant>
        <vt:i4>1703985</vt:i4>
      </vt:variant>
      <vt:variant>
        <vt:i4>2</vt:i4>
      </vt:variant>
      <vt:variant>
        <vt:i4>0</vt:i4>
      </vt:variant>
      <vt:variant>
        <vt:i4>5</vt:i4>
      </vt:variant>
      <vt:variant>
        <vt:lpwstr/>
      </vt:variant>
      <vt:variant>
        <vt:lpwstr>_Toc197512633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124</cp:revision>
  <dcterms:created xsi:type="dcterms:W3CDTF">2025-04-14T16:23:00Z</dcterms:created>
  <dcterms:modified xsi:type="dcterms:W3CDTF">2025-05-09T06:46:00Z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5f8d876f-3605-4c3e-9c51-30fb0263b778</vt:lpwstr>
  </property>
</Properties>
</file>